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52450" cy="561975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61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Ministério do Desenvolvimento R</w:t>
      </w:r>
      <w:r w:rsidDel="00000000" w:rsidR="00000000" w:rsidRPr="00000000">
        <w:rPr>
          <w:b w:val="1"/>
          <w:smallCaps w:val="1"/>
          <w:rtl w:val="0"/>
        </w:rPr>
        <w:t xml:space="preserve">egional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Conselho Nacional de Recursos Hídricos</w:t>
      </w:r>
    </w:p>
    <w:p w:rsidR="00000000" w:rsidDel="00000000" w:rsidP="00000000" w:rsidRDefault="00000000" w:rsidRPr="00000000" w14:paraId="00000004">
      <w:pPr>
        <w:spacing w:after="120" w:line="240" w:lineRule="auto"/>
        <w:ind w:right="30"/>
        <w:jc w:val="center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line="240" w:lineRule="auto"/>
        <w:ind w:right="30"/>
        <w:jc w:val="center"/>
        <w:rPr/>
      </w:pPr>
      <w:r w:rsidDel="00000000" w:rsidR="00000000" w:rsidRPr="00000000">
        <w:rPr>
          <w:b w:val="1"/>
          <w:color w:val="ff0000"/>
          <w:rtl w:val="0"/>
        </w:rPr>
        <w:t xml:space="preserve">MINUTA</w:t>
      </w:r>
      <w:r w:rsidDel="00000000" w:rsidR="00000000" w:rsidRPr="00000000">
        <w:rPr>
          <w:b w:val="1"/>
          <w:rtl w:val="0"/>
        </w:rPr>
        <w:t xml:space="preserve"> COMUNICAÇÃO CNRH N</w:t>
      </w:r>
      <w:r w:rsidDel="00000000" w:rsidR="00000000" w:rsidRPr="00000000">
        <w:rPr>
          <w:b w:val="1"/>
          <w:u w:val="single"/>
          <w:vertAlign w:val="superscript"/>
          <w:rtl w:val="0"/>
        </w:rPr>
        <w:t xml:space="preserve">o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ff0000"/>
          <w:rtl w:val="0"/>
        </w:rPr>
        <w:t xml:space="preserve">XX</w:t>
      </w:r>
      <w:r w:rsidDel="00000000" w:rsidR="00000000" w:rsidRPr="00000000">
        <w:rPr>
          <w:b w:val="1"/>
          <w:rtl w:val="0"/>
        </w:rPr>
        <w:t xml:space="preserve">, DE  17 DE MARÇO DE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0"/>
        </w:tabs>
        <w:spacing w:after="120" w:line="240" w:lineRule="auto"/>
        <w:ind w:right="425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line="240" w:lineRule="auto"/>
        <w:ind w:left="5103" w:firstLine="0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ind w:left="5103" w:firstLine="0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1440"/>
        </w:tabs>
        <w:spacing w:after="240" w:before="240" w:line="240" w:lineRule="auto"/>
        <w:ind w:left="0" w:right="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Conselho Nacional de Recursos Hídricos - CNRH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no uso das competências que lhe são conferidas pela Lei nº 9.433, de 8 de janeiro de 1997, pela Lei nº 9.984, de 17 de julho de 2000, pelo Decreto nº 10.000, de 3 de setembro de 2019, e na forma do seu Regimento Interno, constante da Resolução CNRH nº 215, de 30 de junho de 2020,  comunica que aprovou o programa de trabalho e a respectiva proposta orçamentária da Secretaria-Executiva do Conselho Nacional de Recursos Hídricos para o exercício de 2021, na forma do anexo  desta Comunicação, em conformidade com o artigo 46, inciso V, da Lei nº 9433/1997 -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compete à Secretaria Executiva do Conselho Nacional de Recursos Hídricos-CNRH elaborar seu programa de trabalho e respectiva proposta orçamentária anual e submetê-los à aprovação do CNRH.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1440"/>
        </w:tabs>
        <w:spacing w:after="120" w:before="120" w:line="240" w:lineRule="auto"/>
        <w:ind w:left="0" w:right="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1440"/>
        </w:tabs>
        <w:spacing w:after="120" w:before="12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SÉRGIO COSTA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1440"/>
        </w:tabs>
        <w:spacing w:after="120" w:before="12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SECRETÁRIO-EXECUTIVO DO CNRH</w:t>
      </w:r>
    </w:p>
    <w:p w:rsidR="00000000" w:rsidDel="00000000" w:rsidP="00000000" w:rsidRDefault="00000000" w:rsidRPr="00000000" w14:paraId="0000000D">
      <w:pPr>
        <w:spacing w:after="120"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</w:t>
      </w:r>
    </w:p>
    <w:p w:rsidR="00000000" w:rsidDel="00000000" w:rsidP="00000000" w:rsidRDefault="00000000" w:rsidRPr="00000000" w14:paraId="00000011">
      <w:pPr>
        <w:spacing w:after="12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Programa de Trabalho e Proposta Orçamentária da</w:t>
      </w:r>
    </w:p>
    <w:p w:rsidR="00000000" w:rsidDel="00000000" w:rsidP="00000000" w:rsidRDefault="00000000" w:rsidRPr="00000000" w14:paraId="00000013">
      <w:pPr>
        <w:spacing w:after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Secretaria-Executiva do Conselho Nacional de Recursos Hídricos para 2021</w:t>
      </w:r>
    </w:p>
    <w:p w:rsidR="00000000" w:rsidDel="00000000" w:rsidP="00000000" w:rsidRDefault="00000000" w:rsidRPr="00000000" w14:paraId="00000014">
      <w:pPr>
        <w:spacing w:after="12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INTRODUÇÃO</w:t>
      </w:r>
    </w:p>
    <w:p w:rsidR="00000000" w:rsidDel="00000000" w:rsidP="00000000" w:rsidRDefault="00000000" w:rsidRPr="00000000" w14:paraId="00000016">
      <w:pPr>
        <w:spacing w:after="12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  <w:t xml:space="preserve">Esse Programa de Trabalho e Proposta Orçamentária atendem ao que dispõe a Lei n</w:t>
      </w:r>
      <w:r w:rsidDel="00000000" w:rsidR="00000000" w:rsidRPr="00000000">
        <w:rPr>
          <w:u w:val="single"/>
          <w:vertAlign w:val="superscript"/>
          <w:rtl w:val="0"/>
        </w:rPr>
        <w:t xml:space="preserve">o</w:t>
      </w:r>
      <w:r w:rsidDel="00000000" w:rsidR="00000000" w:rsidRPr="00000000">
        <w:rPr>
          <w:rtl w:val="0"/>
        </w:rPr>
        <w:t xml:space="preserve"> 9.433, de 1997, em seu artigo 46, inciso V - </w:t>
      </w:r>
      <w:r w:rsidDel="00000000" w:rsidR="00000000" w:rsidRPr="00000000">
        <w:rPr>
          <w:i w:val="1"/>
          <w:rtl w:val="0"/>
        </w:rPr>
        <w:t xml:space="preserve">compete à Secretaria Executiva do Conselho Nacional de Recursos Hídricos-CNRH elaborar seu programa de trabalho e respectiva proposta orçamentária anual e submetê-los à aprovação do CNRH</w:t>
      </w:r>
      <w:r w:rsidDel="00000000" w:rsidR="00000000" w:rsidRPr="00000000">
        <w:rPr>
          <w:rtl w:val="0"/>
        </w:rPr>
        <w:t xml:space="preserve">; e no Regimento Interno do Colegiado, anexo à Resolução CNRH nº 215/2020. </w:t>
      </w:r>
    </w:p>
    <w:p w:rsidR="00000000" w:rsidDel="00000000" w:rsidP="00000000" w:rsidRDefault="00000000" w:rsidRPr="00000000" w14:paraId="00000018">
      <w:pPr>
        <w:tabs>
          <w:tab w:val="left" w:pos="360"/>
        </w:tabs>
        <w:spacing w:after="120" w:line="240" w:lineRule="auto"/>
        <w:jc w:val="both"/>
        <w:rPr/>
      </w:pPr>
      <w:r w:rsidDel="00000000" w:rsidR="00000000" w:rsidRPr="00000000">
        <w:rPr>
          <w:rtl w:val="0"/>
        </w:rPr>
        <w:t xml:space="preserve">Para o desempenho da atribuição que lhe foi legalmente conferida, a Secretaria-Executiva do CNRH, exercida pela Secretaria Nacional de Segurança Hídrica do Ministério do Desenvolvimento Regional, por meio do Departamento de Recursos Hídricos e Revitalização de Bacias Hidrográficas,  requer a execução das atividades aqui relacionadas para 2021</w:t>
      </w:r>
      <w:r w:rsidDel="00000000" w:rsidR="00000000" w:rsidRPr="00000000">
        <w:rPr>
          <w:b w:val="1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, em complementação àquelas previstas nos artigos 41 e 42 do Regimento Interno do CNRH. Cabe ressaltar a correlação das atividades pontuais da Secretaria Executiva do CNRH com as demandas provenientes das Câmaras Técnicas e do Plenário do CNRH.</w:t>
      </w:r>
    </w:p>
    <w:p w:rsidR="00000000" w:rsidDel="00000000" w:rsidP="00000000" w:rsidRDefault="00000000" w:rsidRPr="00000000" w14:paraId="00000019">
      <w:pPr>
        <w:tabs>
          <w:tab w:val="left" w:pos="360"/>
        </w:tabs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  <w:t xml:space="preserve">A elaboração desta proposta levou em consideração a previsão de reuniões para 2021, o custeio para a participação da sociedade civil, as demandas de contratação de serviços e de consultoria especializada. </w:t>
      </w:r>
    </w:p>
    <w:p w:rsidR="00000000" w:rsidDel="00000000" w:rsidP="00000000" w:rsidRDefault="00000000" w:rsidRPr="00000000" w14:paraId="0000001A">
      <w:pPr>
        <w:tabs>
          <w:tab w:val="left" w:pos="360"/>
        </w:tabs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  <w:t xml:space="preserve">Considerando que as restrições impostas pela pandemia da COVID-19 ainda permanecerão em 2021, foram mantidas as reuniões por videoconferência, mas com previsão de encontros semipresenciais no segundo semestre para a realização das reuniões plenárias. </w:t>
      </w:r>
    </w:p>
    <w:p w:rsidR="00000000" w:rsidDel="00000000" w:rsidP="00000000" w:rsidRDefault="00000000" w:rsidRPr="00000000" w14:paraId="0000001B">
      <w:pPr>
        <w:tabs>
          <w:tab w:val="left" w:pos="360"/>
        </w:tabs>
        <w:spacing w:after="120" w:before="120" w:line="240" w:lineRule="auto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Por fim, ressalta-se que as atividades de apoio ao Conselho Nacional de Recursos Hídricos são realizadas com recursos oriundos do Orçamento da União (OGU), no âmbito do Programa 2221 – Recursos Hídricos, na Ação Orçamentária 20VS.</w:t>
      </w:r>
    </w:p>
    <w:p w:rsidR="00000000" w:rsidDel="00000000" w:rsidP="00000000" w:rsidRDefault="00000000" w:rsidRPr="00000000" w14:paraId="0000001C">
      <w:pPr>
        <w:tabs>
          <w:tab w:val="left" w:pos="360"/>
        </w:tabs>
        <w:spacing w:after="120" w:lin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12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Atividades previstas para 2021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tabs>
          <w:tab w:val="left" w:pos="360"/>
        </w:tabs>
        <w:spacing w:line="240" w:lineRule="auto"/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Subsidiar o Presidente e Secretário-Executivo do</w:t>
      </w:r>
      <w:r w:rsidDel="00000000" w:rsidR="00000000" w:rsidRPr="00000000">
        <w:rPr>
          <w:rtl w:val="0"/>
        </w:rPr>
        <w:t xml:space="preserve"> Conselho nas suas atribuições, entre elas a de submeter à apreciação do Plenário os assuntos que lhe forem encaminhados, ouvidas as respectivas Câmaras Técnicas;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tabs>
          <w:tab w:val="left" w:pos="360"/>
        </w:tabs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Executar serviços de assessoria e relatoria do CNRH e das Câmaras Técnicas;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Organizar e realizar duas reuniões ordinárias e 3 reuniões extraordinárias do CNRH;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Organizar e realizar de 35 reuniões de Câmaras Técnicas;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Apoiar à realização de reuniões dos Grupos de Trabalho;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Organizar e realizar duas reuniões com os Coordenadores das Câmaras Técnicas;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Apoiar na organização e realização de eventos voltados para a elaboração do novo Plano Nacional de Recursos Hídricos 2022-2040;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Elaborar proposta de agenda estratégica para o CNRH e planejamento da execução.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Reestruturar a página do CNRH e manter atualizado o conteúdo;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Contratar Consultoria especializada na área jurídica para organizar os normativos do CNRH;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tabs>
          <w:tab w:val="left" w:pos="360"/>
        </w:tabs>
        <w:spacing w:after="12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Apoiar a realização de eventos como oficinas, simpósios e seminários sobre temas específicos que estejam em discussão no CNRH;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Organizar o conteúdo, providenciar a editoração eletrônica e a impressão da 9ª Edição do “Conjunto de Normas Legais – Recursos Hídricos”;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Executar as atribuições previstas nos arts. 41 e 42, do Regimento Interno do CNRH.</w:t>
      </w:r>
    </w:p>
    <w:p w:rsidR="00000000" w:rsidDel="00000000" w:rsidP="00000000" w:rsidRDefault="00000000" w:rsidRPr="00000000" w14:paraId="0000002B">
      <w:pPr>
        <w:spacing w:after="12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PROPOSTA ORÇAMENTÁRIA</w:t>
      </w:r>
    </w:p>
    <w:p w:rsidR="00000000" w:rsidDel="00000000" w:rsidP="00000000" w:rsidRDefault="00000000" w:rsidRPr="00000000" w14:paraId="0000002D">
      <w:pPr>
        <w:spacing w:after="12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pos="360"/>
        </w:tabs>
        <w:spacing w:after="120" w:before="120" w:lineRule="auto"/>
        <w:jc w:val="both"/>
        <w:rPr/>
      </w:pPr>
      <w:r w:rsidDel="00000000" w:rsidR="00000000" w:rsidRPr="00000000">
        <w:rPr>
          <w:rtl w:val="0"/>
        </w:rPr>
        <w:t xml:space="preserve">O quadro a seguir apresenta a previsão de recursos financeiros necessários para a execução das atividades elencadas acima.</w:t>
      </w:r>
    </w:p>
    <w:p w:rsidR="00000000" w:rsidDel="00000000" w:rsidP="00000000" w:rsidRDefault="00000000" w:rsidRPr="00000000" w14:paraId="0000002F">
      <w:pPr>
        <w:tabs>
          <w:tab w:val="left" w:pos="360"/>
        </w:tabs>
        <w:spacing w:after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75"/>
        <w:gridCol w:w="2664"/>
        <w:tblGridChange w:id="0">
          <w:tblGrid>
            <w:gridCol w:w="6975"/>
            <w:gridCol w:w="2664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tabs>
                <w:tab w:val="left" w:pos="360"/>
              </w:tabs>
              <w:spacing w:after="12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Discriminação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tabs>
                <w:tab w:val="left" w:pos="360"/>
              </w:tabs>
              <w:spacing w:after="12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Valor em R$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1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Previsão de diárias e passagens para representantes da sociedade civil, para participar de 3 reuniões plenárias.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16.500,00</w:t>
            </w:r>
          </w:p>
        </w:tc>
      </w:tr>
      <w:tr>
        <w:trPr>
          <w:trHeight w:val="693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Degravação das reuniões plenárias e das Câmaras Técnicas, previsão de 272 horas de reunião.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81.000,00</w:t>
            </w:r>
          </w:p>
        </w:tc>
      </w:tr>
      <w:tr>
        <w:trPr>
          <w:trHeight w:val="693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Serviço de sonorização com gravação digital de áudio, para 3 reuniões plenárias.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9.000,00</w:t>
            </w:r>
          </w:p>
        </w:tc>
      </w:tr>
      <w:tr>
        <w:trPr>
          <w:trHeight w:val="652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Diagramação, projeto gráfico, editoração eletrônica e impressão de 1000 (mil) exemplares da 9ª Edição do Conjunto de Normas Legais.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40.000,00</w:t>
            </w:r>
          </w:p>
        </w:tc>
      </w:tr>
      <w:tr>
        <w:trPr>
          <w:trHeight w:val="652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Recursos disponíveis para realização de estudos e contratação de consultoria.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200.000,00</w:t>
            </w:r>
          </w:p>
        </w:tc>
      </w:tr>
      <w:tr>
        <w:trPr>
          <w:trHeight w:val="507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pos="360"/>
              </w:tabs>
              <w:spacing w:after="12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346.500,00</w:t>
            </w:r>
          </w:p>
        </w:tc>
      </w:tr>
    </w:tbl>
    <w:p w:rsidR="00000000" w:rsidDel="00000000" w:rsidP="00000000" w:rsidRDefault="00000000" w:rsidRPr="00000000" w14:paraId="0000003E">
      <w:pPr>
        <w:tabs>
          <w:tab w:val="left" w:pos="0"/>
          <w:tab w:val="left" w:pos="360"/>
        </w:tabs>
        <w:spacing w:after="120" w:line="240" w:lineRule="auto"/>
        <w:jc w:val="both"/>
        <w:rPr/>
      </w:pPr>
      <w:r w:rsidDel="00000000" w:rsidR="00000000" w:rsidRPr="00000000">
        <w:rPr>
          <w:u w:val="single"/>
          <w:rtl w:val="0"/>
        </w:rPr>
        <w:t xml:space="preserve">Observação</w:t>
      </w:r>
      <w:r w:rsidDel="00000000" w:rsidR="00000000" w:rsidRPr="00000000">
        <w:rPr>
          <w:rtl w:val="0"/>
        </w:rPr>
        <w:t xml:space="preserve">: no orçamento da Secretaria Executiva não estão computadas as despesas e proventos dos servidores e agentes públicos do Ministério do Desenvolvimento Regional.</w:t>
      </w:r>
    </w:p>
    <w:sectPr>
      <w:footerReference r:id="rId9" w:type="default"/>
      <w:footerReference r:id="rId10" w:type="first"/>
      <w:pgSz w:h="16837" w:w="11905" w:orient="portrait"/>
      <w:pgMar w:bottom="709" w:top="1134" w:left="1418" w:right="1134" w:header="720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10344.0" w:type="dxa"/>
      <w:jc w:val="left"/>
      <w:tblInd w:w="0.0" w:type="dxa"/>
      <w:tblLayout w:type="fixed"/>
      <w:tblLook w:val="0000"/>
    </w:tblPr>
    <w:tblGrid>
      <w:gridCol w:w="3448"/>
      <w:gridCol w:w="3448"/>
      <w:gridCol w:w="3448"/>
      <w:tblGridChange w:id="0">
        <w:tblGrid>
          <w:gridCol w:w="3448"/>
          <w:gridCol w:w="3448"/>
          <w:gridCol w:w="3448"/>
        </w:tblGrid>
      </w:tblGridChange>
    </w:tblGrid>
    <w:tr>
      <w:tc>
        <w:tcPr/>
        <w:p w:rsidR="00000000" w:rsidDel="00000000" w:rsidP="00000000" w:rsidRDefault="00000000" w:rsidRPr="00000000" w14:paraId="0000004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4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4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righ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F">
      <w:pPr>
        <w:jc w:val="both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ab/>
        <w:t xml:space="preserve"> A qualquer tempo, para atendimento das necessidades do CNRH, poderão ser realizadas alterações neste Programa de Trabalho.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  <w:jc w:val="center"/>
    </w:pPr>
    <w:rPr>
      <w:b w:val="1"/>
    </w:rPr>
  </w:style>
  <w:style w:type="paragraph" w:styleId="Heading2">
    <w:name w:val="heading 2"/>
    <w:basedOn w:val="Normal"/>
    <w:next w:val="Normal"/>
    <w:pPr>
      <w:keepNext w:val="1"/>
      <w:spacing w:after="120" w:lineRule="auto"/>
      <w:ind w:left="0" w:firstLine="0"/>
      <w:jc w:val="both"/>
    </w:pPr>
    <w:rPr>
      <w:color w:val="ff000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0" w:firstLine="0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suppressAutoHyphens w:val="1"/>
    </w:pPr>
    <w:rPr>
      <w:kern w:val="1"/>
      <w:sz w:val="24"/>
      <w:szCs w:val="24"/>
      <w:lang w:eastAsia="ar-SA"/>
    </w:rPr>
  </w:style>
  <w:style w:type="paragraph" w:styleId="Ttulo1">
    <w:name w:val="heading 1"/>
    <w:basedOn w:val="Normal"/>
    <w:next w:val="Corpodetexto"/>
    <w:qFormat w:val="1"/>
    <w:pPr>
      <w:keepNext w:val="1"/>
      <w:numPr>
        <w:numId w:val="1"/>
      </w:numPr>
      <w:jc w:val="center"/>
      <w:outlineLvl w:val="0"/>
    </w:pPr>
    <w:rPr>
      <w:b w:val="1"/>
      <w:bCs w:val="1"/>
    </w:rPr>
  </w:style>
  <w:style w:type="paragraph" w:styleId="Ttulo2">
    <w:name w:val="heading 2"/>
    <w:basedOn w:val="Normal"/>
    <w:next w:val="Corpodetexto"/>
    <w:qFormat w:val="1"/>
    <w:pPr>
      <w:keepNext w:val="1"/>
      <w:numPr>
        <w:ilvl w:val="1"/>
        <w:numId w:val="1"/>
      </w:numPr>
      <w:spacing w:after="120"/>
      <w:jc w:val="both"/>
      <w:outlineLvl w:val="1"/>
    </w:pPr>
    <w:rPr>
      <w:color w:val="ff0000"/>
      <w:sz w:val="28"/>
      <w:szCs w:val="20"/>
    </w:rPr>
  </w:style>
  <w:style w:type="paragraph" w:styleId="Ttulo5">
    <w:name w:val="heading 5"/>
    <w:basedOn w:val="Normal"/>
    <w:next w:val="Corpodetexto"/>
    <w:qFormat w:val="1"/>
    <w:pPr>
      <w:numPr>
        <w:ilvl w:val="4"/>
        <w:numId w:val="1"/>
      </w:numPr>
      <w:spacing w:after="60" w:before="240"/>
      <w:outlineLvl w:val="4"/>
    </w:pPr>
    <w:rPr>
      <w:b w:val="1"/>
      <w:bCs w:val="1"/>
      <w:i w:val="1"/>
      <w:iCs w:val="1"/>
      <w:sz w:val="26"/>
      <w:szCs w:val="2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WW8Num2z0" w:customStyle="1">
    <w:name w:val="WW8Num2z0"/>
    <w:rPr>
      <w:rFonts w:ascii="Wingdings" w:hAnsi="Wingdings"/>
    </w:rPr>
  </w:style>
  <w:style w:type="character" w:styleId="WW8Num3z0" w:customStyle="1">
    <w:name w:val="WW8Num3z0"/>
    <w:rPr>
      <w:rFonts w:ascii="Wingdings" w:hAnsi="Wingdings"/>
    </w:rPr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Fontepargpadro4" w:customStyle="1">
    <w:name w:val="Fonte parág. padrão4"/>
  </w:style>
  <w:style w:type="character" w:styleId="WW-Absatz-Standardschriftart11111111" w:customStyle="1">
    <w:name w:val="WW-Absatz-Standardschriftart11111111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Fontepargpadro3" w:customStyle="1">
    <w:name w:val="Fonte parág. padrão3"/>
  </w:style>
  <w:style w:type="character" w:styleId="WW-Fontepargpadro" w:customStyle="1">
    <w:name w:val="WW-Fonte parág. padrão"/>
  </w:style>
  <w:style w:type="character" w:styleId="Fontepargpadro1" w:customStyle="1">
    <w:name w:val="Fonte parág. padrão1"/>
  </w:style>
  <w:style w:type="character" w:styleId="Fontepargpadro2" w:customStyle="1">
    <w:name w:val="Fonte parág. padrão2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Fontepargpadro10" w:customStyle="1">
    <w:name w:val="Fonte parág. padrão1"/>
  </w:style>
  <w:style w:type="character" w:styleId="WW-Fontepargpadro1" w:customStyle="1">
    <w:name w:val="WW-Fonte parág. padrão1"/>
  </w:style>
  <w:style w:type="character" w:styleId="WW-Absatz-Standardschriftart1111111111111111111111" w:customStyle="1">
    <w:name w:val="WW-Absatz-Standardschriftart1111111111111111111111"/>
  </w:style>
  <w:style w:type="character" w:styleId="WW-Fontepargpadro11" w:customStyle="1">
    <w:name w:val="WW-Fonte parág. padrão11"/>
  </w:style>
  <w:style w:type="character" w:styleId="Hyperlink">
    <w:name w:val="Hyperlink"/>
    <w:rPr>
      <w:color w:val="0000ff"/>
      <w:u w:val="single"/>
    </w:rPr>
  </w:style>
  <w:style w:type="character" w:styleId="HiperlinkVisitado1" w:customStyle="1">
    <w:name w:val="HiperlinkVisitado1"/>
    <w:rPr>
      <w:color w:val="800080"/>
      <w:u w:val="single"/>
    </w:rPr>
  </w:style>
  <w:style w:type="character" w:styleId="CabealhoChar" w:customStyle="1">
    <w:name w:val="Cabeçalho Char"/>
    <w:rPr>
      <w:sz w:val="24"/>
      <w:szCs w:val="24"/>
    </w:rPr>
  </w:style>
  <w:style w:type="character" w:styleId="RodapChar" w:customStyle="1">
    <w:name w:val="Rodapé Char"/>
  </w:style>
  <w:style w:type="character" w:styleId="CaracteresdeNotadeRodap" w:customStyle="1">
    <w:name w:val="Caracteres de Nota de Rodapé"/>
  </w:style>
  <w:style w:type="character" w:styleId="Refdenotaderodap1" w:customStyle="1">
    <w:name w:val="Ref. de nota de rodapé1"/>
    <w:rPr>
      <w:vertAlign w:val="superscript"/>
    </w:rPr>
  </w:style>
  <w:style w:type="character" w:styleId="Forte">
    <w:name w:val="Strong"/>
    <w:uiPriority w:val="22"/>
    <w:qFormat w:val="1"/>
    <w:rPr>
      <w:b w:val="1"/>
      <w:bCs w:val="1"/>
    </w:rPr>
  </w:style>
  <w:style w:type="character" w:styleId="Ttulo5Char" w:customStyle="1">
    <w:name w:val="Título 5 Char"/>
    <w:rPr>
      <w:b w:val="1"/>
      <w:bCs w:val="1"/>
      <w:i w:val="1"/>
      <w:iCs w:val="1"/>
      <w:sz w:val="26"/>
      <w:szCs w:val="26"/>
    </w:rPr>
  </w:style>
  <w:style w:type="character" w:styleId="Caracteresdenotaderodap0" w:customStyle="1">
    <w:name w:val="Caracteres de nota de rodapé"/>
  </w:style>
  <w:style w:type="character" w:styleId="Refdenotaderodap10" w:customStyle="1">
    <w:name w:val="Ref. de nota de rodapé1"/>
    <w:rPr>
      <w:vertAlign w:val="superscript"/>
    </w:rPr>
  </w:style>
  <w:style w:type="character" w:styleId="CaracteresdeNotadeFim" w:customStyle="1">
    <w:name w:val="Caracteres de Nota de Fim"/>
    <w:rPr>
      <w:vertAlign w:val="superscript"/>
    </w:rPr>
  </w:style>
  <w:style w:type="character" w:styleId="Caracteresdenotadefim0" w:customStyle="1">
    <w:name w:val="Caracteres de nota de fim"/>
  </w:style>
  <w:style w:type="character" w:styleId="WW-Refdenotaderodap" w:customStyle="1">
    <w:name w:val="WW-Ref. de nota de rodapé"/>
    <w:rPr>
      <w:vertAlign w:val="superscript"/>
    </w:rPr>
  </w:style>
  <w:style w:type="character" w:styleId="Refdenotadefim1" w:customStyle="1">
    <w:name w:val="Ref. de nota de fim1"/>
    <w:rPr>
      <w:vertAlign w:val="superscript"/>
    </w:rPr>
  </w:style>
  <w:style w:type="character" w:styleId="TextodebaloChar" w:customStyle="1">
    <w:name w:val="Texto de balão Char"/>
    <w:rPr>
      <w:rFonts w:ascii="Tahoma" w:cs="Tahoma" w:hAnsi="Tahoma"/>
      <w:kern w:val="1"/>
      <w:sz w:val="16"/>
      <w:szCs w:val="16"/>
    </w:rPr>
  </w:style>
  <w:style w:type="character" w:styleId="Refdenotaderodap2" w:customStyle="1">
    <w:name w:val="Ref. de nota de rodapé2"/>
    <w:rPr>
      <w:vertAlign w:val="superscript"/>
    </w:rPr>
  </w:style>
  <w:style w:type="character" w:styleId="Refdenotadefim2" w:customStyle="1">
    <w:name w:val="Ref. de nota de fim2"/>
    <w:rPr>
      <w:vertAlign w:val="superscript"/>
    </w:rPr>
  </w:style>
  <w:style w:type="character" w:styleId="WW-Absatz-Standardschriftart11111111111111111111111" w:customStyle="1">
    <w:name w:val="WW-Absatz-Standardschriftart11111111111111111111111"/>
  </w:style>
  <w:style w:type="character" w:styleId="Refdenotaderodap">
    <w:name w:val="footnote reference"/>
    <w:rPr>
      <w:vertAlign w:val="superscript"/>
    </w:rPr>
  </w:style>
  <w:style w:type="character" w:styleId="Refdenotadefim">
    <w:name w:val="endnote reference"/>
    <w:rPr>
      <w:vertAlign w:val="superscript"/>
    </w:rPr>
  </w:style>
  <w:style w:type="paragraph" w:styleId="Ttulo3" w:customStyle="1">
    <w:name w:val="Título3"/>
    <w:basedOn w:val="Normal"/>
    <w:next w:val="Corpodetexto"/>
    <w:pPr>
      <w:keepNext w:val="1"/>
      <w:spacing w:after="120" w:before="240"/>
    </w:pPr>
    <w:rPr>
      <w:rFonts w:ascii="Arial" w:cs="Tahoma" w:eastAsia="Lucida Sans Unicode" w:hAnsi="Arial"/>
      <w:sz w:val="28"/>
      <w:szCs w:val="28"/>
    </w:rPr>
  </w:style>
  <w:style w:type="paragraph" w:styleId="Corpodetexto">
    <w:name w:val="Body Text"/>
    <w:basedOn w:val="Normal"/>
    <w:rPr>
      <w:sz w:val="28"/>
      <w:szCs w:val="20"/>
    </w:rPr>
  </w:style>
  <w:style w:type="paragraph" w:styleId="Lista">
    <w:name w:val="List"/>
    <w:pPr>
      <w:widowControl w:val="0"/>
      <w:suppressAutoHyphens w:val="1"/>
    </w:pPr>
    <w:rPr>
      <w:rFonts w:cs="Tahoma" w:eastAsia="Arial"/>
      <w:kern w:val="1"/>
      <w:lang w:eastAsia="ar-SA"/>
    </w:rPr>
  </w:style>
  <w:style w:type="paragraph" w:styleId="Legenda4" w:customStyle="1">
    <w:name w:val="Legenda4"/>
    <w:basedOn w:val="Normal"/>
    <w:pPr>
      <w:suppressLineNumbers w:val="1"/>
      <w:spacing w:after="120" w:before="120"/>
    </w:pPr>
    <w:rPr>
      <w:rFonts w:cs="Tahoma"/>
      <w:i w:val="1"/>
      <w:iCs w:val="1"/>
    </w:rPr>
  </w:style>
  <w:style w:type="paragraph" w:styleId="ndice" w:customStyle="1">
    <w:name w:val="Índice"/>
    <w:basedOn w:val="Normal"/>
    <w:pPr>
      <w:suppressLineNumbers w:val="1"/>
    </w:pPr>
    <w:rPr>
      <w:rFonts w:cs="Tahoma"/>
    </w:rPr>
  </w:style>
  <w:style w:type="paragraph" w:styleId="Ttulo20" w:customStyle="1">
    <w:name w:val="Título2"/>
    <w:basedOn w:val="Normal"/>
    <w:next w:val="Corpodetexto"/>
    <w:pPr>
      <w:keepNext w:val="1"/>
      <w:spacing w:after="120" w:before="240"/>
    </w:pPr>
    <w:rPr>
      <w:rFonts w:ascii="Arial" w:cs="Tahoma" w:eastAsia="Lucida Sans Unicode" w:hAnsi="Arial"/>
      <w:sz w:val="28"/>
      <w:szCs w:val="28"/>
    </w:rPr>
  </w:style>
  <w:style w:type="paragraph" w:styleId="Legenda3" w:customStyle="1">
    <w:name w:val="Legenda3"/>
    <w:basedOn w:val="Normal"/>
    <w:pPr>
      <w:suppressLineNumbers w:val="1"/>
      <w:spacing w:after="120" w:before="120"/>
    </w:pPr>
    <w:rPr>
      <w:rFonts w:cs="Tahoma"/>
      <w:i w:val="1"/>
      <w:iCs w:val="1"/>
    </w:rPr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cs="Tahoma" w:eastAsia="Lucida Sans Unicode" w:hAnsi="Arial"/>
      <w:sz w:val="28"/>
      <w:szCs w:val="28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Arial" w:cs="Tahoma" w:eastAsia="Lucida Sans Unicode" w:hAnsi="Arial"/>
      <w:sz w:val="28"/>
      <w:szCs w:val="28"/>
    </w:rPr>
  </w:style>
  <w:style w:type="paragraph" w:styleId="Subttulo">
    <w:name w:val="Subtitle"/>
    <w:next w:val="Corpodetexto"/>
    <w:qFormat w:val="1"/>
    <w:pPr>
      <w:widowControl w:val="0"/>
      <w:suppressAutoHyphens w:val="1"/>
      <w:jc w:val="center"/>
    </w:pPr>
    <w:rPr>
      <w:rFonts w:eastAsia="Arial"/>
      <w:i w:val="1"/>
      <w:iCs w:val="1"/>
      <w:kern w:val="1"/>
      <w:sz w:val="28"/>
      <w:szCs w:val="28"/>
      <w:lang w:eastAsia="ar-SA"/>
    </w:rPr>
  </w:style>
  <w:style w:type="paragraph" w:styleId="WW-Ttulo" w:customStyle="1">
    <w:name w:val="WW-Título"/>
    <w:basedOn w:val="Normal"/>
    <w:next w:val="Corpodetexto"/>
    <w:pPr>
      <w:keepNext w:val="1"/>
      <w:spacing w:after="120" w:before="240"/>
    </w:pPr>
    <w:rPr>
      <w:rFonts w:ascii="Arial" w:cs="Tahoma" w:eastAsia="Lucida Sans Unicode" w:hAnsi="Arial"/>
      <w:sz w:val="28"/>
      <w:szCs w:val="28"/>
    </w:rPr>
  </w:style>
  <w:style w:type="paragraph" w:styleId="Legenda2" w:customStyle="1">
    <w:name w:val="Legenda2"/>
    <w:basedOn w:val="Normal"/>
    <w:pPr>
      <w:suppressLineNumbers w:val="1"/>
      <w:spacing w:after="120" w:before="120"/>
    </w:pPr>
    <w:rPr>
      <w:rFonts w:cs="Tahoma"/>
      <w:i w:val="1"/>
      <w:iCs w:val="1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rFonts w:cs="Tahoma"/>
      <w:i w:val="1"/>
      <w:iCs w:val="1"/>
      <w:sz w:val="20"/>
      <w:szCs w:val="20"/>
    </w:rPr>
  </w:style>
  <w:style w:type="paragraph" w:styleId="WW-Ttulo1" w:customStyle="1">
    <w:name w:val="WW-Título1"/>
    <w:basedOn w:val="Normal"/>
    <w:next w:val="Subttulo"/>
    <w:pPr>
      <w:keepNext w:val="1"/>
      <w:spacing w:after="120" w:before="240"/>
      <w:jc w:val="center"/>
    </w:pPr>
    <w:rPr>
      <w:rFonts w:ascii="Arial" w:cs="Tahoma" w:eastAsia="Lucida Sans Unicode" w:hAnsi="Arial"/>
      <w:b w:val="1"/>
      <w:bCs w:val="1"/>
      <w:sz w:val="28"/>
      <w:szCs w:val="28"/>
    </w:rPr>
  </w:style>
  <w:style w:type="paragraph" w:styleId="WW-Ttulo11" w:customStyle="1">
    <w:name w:val="WW-Título11"/>
    <w:basedOn w:val="Normal"/>
    <w:pPr>
      <w:keepNext w:val="1"/>
      <w:spacing w:after="120" w:before="240"/>
    </w:pPr>
    <w:rPr>
      <w:rFonts w:ascii="Arial" w:cs="Tahoma" w:eastAsia="Lucida Sans Unicode" w:hAnsi="Arial"/>
      <w:sz w:val="28"/>
      <w:szCs w:val="28"/>
    </w:rPr>
  </w:style>
  <w:style w:type="paragraph" w:styleId="WW-Ttulo12" w:customStyle="1">
    <w:name w:val="WW-Título12"/>
    <w:basedOn w:val="Normal"/>
    <w:pPr>
      <w:jc w:val="center"/>
    </w:pPr>
    <w:rPr>
      <w:b w:val="1"/>
      <w:bCs w:val="1"/>
      <w:szCs w:val="20"/>
    </w:rPr>
  </w:style>
  <w:style w:type="paragraph" w:styleId="Recuodecorpodetexto">
    <w:name w:val="Body Text Indent"/>
    <w:basedOn w:val="Normal"/>
    <w:pPr>
      <w:ind w:left="1410"/>
    </w:pPr>
    <w:rPr>
      <w:color w:val="0000ff"/>
    </w:rPr>
  </w:style>
  <w:style w:type="paragraph" w:styleId="Recuodecorpodetexto21" w:customStyle="1">
    <w:name w:val="Recuo de corpo de texto 21"/>
    <w:basedOn w:val="Normal"/>
    <w:pPr>
      <w:ind w:left="720"/>
    </w:pPr>
  </w:style>
  <w:style w:type="paragraph" w:styleId="Recuodecorpodetexto31" w:customStyle="1">
    <w:name w:val="Recuo de corpo de texto 31"/>
    <w:basedOn w:val="Normal"/>
    <w:pPr>
      <w:ind w:left="708"/>
    </w:pPr>
  </w:style>
  <w:style w:type="paragraph" w:styleId="Corpodetexto31" w:customStyle="1">
    <w:name w:val="Corpo de texto 31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styleId="NormalWeb">
    <w:name w:val="Normal (Web)"/>
    <w:basedOn w:val="Normal"/>
    <w:pPr>
      <w:spacing w:after="280" w:before="280"/>
    </w:pPr>
  </w:style>
  <w:style w:type="paragraph" w:styleId="Textodebalo1" w:customStyle="1">
    <w:name w:val="Texto de balão1"/>
    <w:basedOn w:val="Normal"/>
    <w:rPr>
      <w:rFonts w:ascii="Tahoma" w:cs="Tahoma" w:hAnsi="Tahoma"/>
      <w:sz w:val="16"/>
      <w:szCs w:val="16"/>
    </w:rPr>
  </w:style>
  <w:style w:type="paragraph" w:styleId="Rodap">
    <w:name w:val="footer"/>
    <w:basedOn w:val="Normal"/>
    <w:pPr>
      <w:suppressLineNumbers w:val="1"/>
      <w:tabs>
        <w:tab w:val="center" w:pos="4419"/>
        <w:tab w:val="right" w:pos="8838"/>
      </w:tabs>
    </w:pPr>
    <w:rPr>
      <w:sz w:val="20"/>
      <w:szCs w:val="20"/>
    </w:rPr>
  </w:style>
  <w:style w:type="paragraph" w:styleId="Corpodetexto21" w:customStyle="1">
    <w:name w:val="Corpo de texto 21"/>
    <w:basedOn w:val="Normal"/>
    <w:pPr>
      <w:jc w:val="both"/>
    </w:pPr>
    <w:rPr>
      <w:szCs w:val="20"/>
    </w:rPr>
  </w:style>
  <w:style w:type="paragraph" w:styleId="Ttulo10" w:customStyle="1">
    <w:name w:val="Título1"/>
    <w:basedOn w:val="Normal"/>
    <w:pPr>
      <w:jc w:val="center"/>
    </w:pPr>
    <w:rPr>
      <w:rFonts w:ascii="Verdana" w:eastAsia="MS Mincho" w:hAnsi="Verdana"/>
      <w:sz w:val="36"/>
      <w:szCs w:val="20"/>
    </w:rPr>
  </w:style>
  <w:style w:type="paragraph" w:styleId="Contedodatabela" w:customStyle="1">
    <w:name w:val="Conteúdo da tabela"/>
    <w:basedOn w:val="Normal"/>
    <w:pPr>
      <w:suppressLineNumbers w:val="1"/>
    </w:pPr>
  </w:style>
  <w:style w:type="paragraph" w:styleId="Ttulodatabela" w:customStyle="1">
    <w:name w:val="Título da tabela"/>
    <w:pPr>
      <w:widowControl w:val="0"/>
      <w:suppressLineNumbers w:val="1"/>
      <w:suppressAutoHyphens w:val="1"/>
      <w:jc w:val="center"/>
    </w:pPr>
    <w:rPr>
      <w:rFonts w:eastAsia="Arial"/>
      <w:b w:val="1"/>
      <w:bCs w:val="1"/>
      <w:i w:val="1"/>
      <w:iCs w:val="1"/>
      <w:kern w:val="1"/>
      <w:lang w:eastAsia="ar-SA"/>
    </w:rPr>
  </w:style>
  <w:style w:type="paragraph" w:styleId="Cabealho">
    <w:name w:val="header"/>
    <w:basedOn w:val="Normal"/>
    <w:pPr>
      <w:suppressLineNumbers w:val="1"/>
      <w:tabs>
        <w:tab w:val="center" w:pos="4252"/>
        <w:tab w:val="right" w:pos="8504"/>
      </w:tabs>
    </w:pPr>
  </w:style>
  <w:style w:type="paragraph" w:styleId="Textodenotaderodap1" w:customStyle="1">
    <w:name w:val="Texto de nota de rodapé1"/>
    <w:basedOn w:val="Normal"/>
    <w:pPr>
      <w:suppressLineNumbers w:val="1"/>
      <w:ind w:left="283" w:hanging="283"/>
      <w:jc w:val="both"/>
    </w:pPr>
    <w:rPr>
      <w:sz w:val="20"/>
      <w:szCs w:val="20"/>
    </w:rPr>
  </w:style>
  <w:style w:type="paragraph" w:styleId="Textodenotaderodap">
    <w:name w:val="footnote text"/>
    <w:basedOn w:val="Normal"/>
    <w:pPr>
      <w:suppressLineNumbers w:val="1"/>
      <w:ind w:left="283" w:hanging="283"/>
    </w:pPr>
    <w:rPr>
      <w:sz w:val="20"/>
      <w:szCs w:val="20"/>
    </w:rPr>
  </w:style>
  <w:style w:type="paragraph" w:styleId="Textodebalo">
    <w:name w:val="Balloon Text"/>
    <w:basedOn w:val="Normal"/>
    <w:rPr>
      <w:rFonts w:ascii="Tahoma" w:cs="Tahoma" w:hAnsi="Tahoma"/>
      <w:sz w:val="16"/>
      <w:szCs w:val="16"/>
    </w:rPr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Ttulodetabela" w:customStyle="1">
    <w:name w:val="Título de tabela"/>
    <w:basedOn w:val="Contedodetabela"/>
    <w:pPr>
      <w:jc w:val="center"/>
    </w:pPr>
    <w:rPr>
      <w:b w:val="1"/>
      <w:bCs w:val="1"/>
    </w:rPr>
  </w:style>
  <w:style w:type="paragraph" w:styleId="PargrafodaLista">
    <w:name w:val="List Paragraph"/>
    <w:basedOn w:val="Normal"/>
    <w:uiPriority w:val="34"/>
    <w:qFormat w:val="1"/>
    <w:rsid w:val="005B6C8C"/>
    <w:pPr>
      <w:ind w:left="720"/>
      <w:contextualSpacing w:val="1"/>
    </w:pPr>
  </w:style>
  <w:style w:type="table" w:styleId="Tabelacomgrade">
    <w:name w:val="Table Grid"/>
    <w:basedOn w:val="Tabelanormal"/>
    <w:uiPriority w:val="59"/>
    <w:rsid w:val="00882A9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extodoEspaoReservado">
    <w:name w:val="Placeholder Text"/>
    <w:basedOn w:val="Fontepargpadro"/>
    <w:uiPriority w:val="99"/>
    <w:semiHidden w:val="1"/>
    <w:rsid w:val="00E344BF"/>
    <w:rPr>
      <w:color w:val="808080"/>
    </w:rPr>
  </w:style>
  <w:style w:type="paragraph" w:styleId="Default" w:customStyle="1">
    <w:name w:val="Default"/>
    <w:rsid w:val="00616044"/>
    <w:pPr>
      <w:autoSpaceDE w:val="0"/>
      <w:autoSpaceDN w:val="0"/>
      <w:adjustRightInd w:val="0"/>
    </w:pPr>
    <w:rPr>
      <w:rFonts w:ascii="Calibri" w:cs="Calibri" w:hAnsi="Calibri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Times New Roman" w:cs="Times New Roman" w:eastAsia="Times New Roman" w:hAnsi="Times New Roman"/>
      <w:b w:val="0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5vPdCpjaJ5RF9b6e9biBj5ZLoA==">AMUW2mULBogKLDp//HPfDZVaV93BM2EeZQnQS5IUEE0suUvwHuE2alMKBbfix+JF0FiPuHD0Q8ENZGZHxlhgP30AQ+4+ZL2Sdb359vrhkm9ayfxxotpzNpuzADP40mkke6vgMXJB5Ugp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2021-02-24T20:25:00Z</dcterms:created>
  <dc:creator>annaflavia</dc:creator>
</cp:coreProperties>
</file>